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D8DD" w14:textId="77777777" w:rsidR="003E1E1A" w:rsidRPr="003E1E1A" w:rsidRDefault="003E1E1A" w:rsidP="003E1E1A">
      <w:pPr>
        <w:spacing w:before="120" w:after="0" w:line="240" w:lineRule="auto"/>
        <w:ind w:left="2400" w:firstLine="4680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bookmarkStart w:id="0" w:name="_Hlk124352596"/>
      <w:r w:rsidRPr="003E1E1A">
        <w:rPr>
          <w:rFonts w:ascii="Arial Narrow" w:eastAsia="Times New Roman" w:hAnsi="Arial Narrow" w:cs="Arial"/>
          <w:b/>
          <w:bCs/>
          <w:sz w:val="24"/>
          <w:szCs w:val="24"/>
        </w:rPr>
        <w:t>Приложение № 3</w:t>
      </w:r>
      <w:bookmarkEnd w:id="0"/>
    </w:p>
    <w:p w14:paraId="61268AB9" w14:textId="77777777" w:rsidR="003E1E1A" w:rsidRPr="003E1E1A" w:rsidRDefault="003E1E1A" w:rsidP="003E1E1A">
      <w:pPr>
        <w:spacing w:before="120" w:after="0" w:line="240" w:lineRule="auto"/>
        <w:ind w:firstLine="7088"/>
        <w:jc w:val="both"/>
        <w:rPr>
          <w:rFonts w:ascii="Arial Narrow" w:eastAsia="Times New Roman" w:hAnsi="Arial Narrow" w:cs="Arial"/>
          <w:sz w:val="24"/>
          <w:szCs w:val="24"/>
        </w:rPr>
      </w:pPr>
      <w:r w:rsidRPr="003E1E1A">
        <w:rPr>
          <w:rFonts w:ascii="Arial Narrow" w:eastAsia="Times New Roman" w:hAnsi="Arial Narrow" w:cs="Arial"/>
          <w:sz w:val="24"/>
          <w:szCs w:val="24"/>
        </w:rPr>
        <w:t>Образец</w:t>
      </w:r>
    </w:p>
    <w:p w14:paraId="1EA4BF8A" w14:textId="77777777" w:rsidR="003E1E1A" w:rsidRPr="003E1E1A" w:rsidRDefault="003E1E1A" w:rsidP="003E1E1A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3E1E1A">
        <w:rPr>
          <w:rFonts w:ascii="Arial Narrow" w:eastAsia="Times New Roman" w:hAnsi="Arial Narrow" w:cs="Arial"/>
          <w:b/>
          <w:bCs/>
          <w:sz w:val="24"/>
          <w:szCs w:val="24"/>
        </w:rPr>
        <w:t xml:space="preserve">ДО </w:t>
      </w:r>
    </w:p>
    <w:p w14:paraId="3154CCED" w14:textId="77777777" w:rsidR="003E1E1A" w:rsidRPr="003E1E1A" w:rsidRDefault="003E1E1A" w:rsidP="003E1E1A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E1E1A">
        <w:rPr>
          <w:rFonts w:ascii="Arial Narrow" w:eastAsia="Times New Roman" w:hAnsi="Arial Narrow" w:cs="Arial"/>
          <w:b/>
          <w:bCs/>
          <w:sz w:val="24"/>
          <w:szCs w:val="24"/>
        </w:rPr>
        <w:t>„ИНФОРМАЦИОННО ОБСЛУЖВАНЕ“ АД</w:t>
      </w:r>
    </w:p>
    <w:p w14:paraId="1D4677FE" w14:textId="77777777" w:rsidR="003E1E1A" w:rsidRPr="003E1E1A" w:rsidRDefault="003E1E1A" w:rsidP="003E1E1A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3E1E1A">
        <w:rPr>
          <w:rFonts w:ascii="Arial Narrow" w:eastAsia="Times New Roman" w:hAnsi="Arial Narrow" w:cs="Arial"/>
          <w:b/>
          <w:bCs/>
          <w:sz w:val="24"/>
          <w:szCs w:val="24"/>
        </w:rPr>
        <w:t>УЛ. „ПАНАЙОТ ВОЛОВ“ № 2</w:t>
      </w:r>
    </w:p>
    <w:p w14:paraId="33760139" w14:textId="77777777" w:rsidR="003E1E1A" w:rsidRPr="003E1E1A" w:rsidRDefault="003E1E1A" w:rsidP="003E1E1A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E1E1A">
        <w:rPr>
          <w:rFonts w:ascii="Arial Narrow" w:eastAsia="Times New Roman" w:hAnsi="Arial Narrow" w:cs="Arial"/>
          <w:b/>
          <w:bCs/>
          <w:sz w:val="24"/>
          <w:szCs w:val="24"/>
        </w:rPr>
        <w:t>ГР. СОФИЯ</w:t>
      </w:r>
    </w:p>
    <w:p w14:paraId="5119B927" w14:textId="77777777" w:rsidR="003E1E1A" w:rsidRPr="003E1E1A" w:rsidRDefault="003E1E1A" w:rsidP="003E1E1A">
      <w:pPr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62E0F804" w14:textId="77777777" w:rsidR="003E1E1A" w:rsidRPr="003E1E1A" w:rsidRDefault="003E1E1A" w:rsidP="003E1E1A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3E1E1A">
        <w:rPr>
          <w:rFonts w:ascii="Arial Narrow" w:eastAsia="Times New Roman" w:hAnsi="Arial Narrow" w:cs="Arial"/>
          <w:sz w:val="24"/>
          <w:szCs w:val="24"/>
        </w:rPr>
        <w:t>[наименование на участника],</w:t>
      </w:r>
    </w:p>
    <w:p w14:paraId="6B978C0A" w14:textId="77777777" w:rsidR="003E1E1A" w:rsidRPr="003E1E1A" w:rsidRDefault="003E1E1A" w:rsidP="003E1E1A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3E1E1A">
        <w:rPr>
          <w:rFonts w:ascii="Arial Narrow" w:eastAsia="Times New Roman" w:hAnsi="Arial Narrow" w:cs="Arial"/>
          <w:sz w:val="24"/>
          <w:szCs w:val="24"/>
        </w:rPr>
        <w:t>представлявано от [трите имена] в качеството на [длъжност, или друго качество]</w:t>
      </w:r>
    </w:p>
    <w:p w14:paraId="2FE44CA0" w14:textId="77777777" w:rsidR="003E1E1A" w:rsidRPr="003E1E1A" w:rsidRDefault="003E1E1A" w:rsidP="003E1E1A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3E1E1A">
        <w:rPr>
          <w:rFonts w:ascii="Arial Narrow" w:eastAsia="Times New Roman" w:hAnsi="Arial Narrow" w:cs="Arial"/>
          <w:sz w:val="24"/>
          <w:szCs w:val="24"/>
        </w:rPr>
        <w:t>с ЕИК […], със седалище […] и адрес на управление […],</w:t>
      </w:r>
    </w:p>
    <w:p w14:paraId="645C6CAA" w14:textId="77777777" w:rsidR="003E1E1A" w:rsidRPr="003E1E1A" w:rsidRDefault="003E1E1A" w:rsidP="003E1E1A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3E1E1A">
        <w:rPr>
          <w:rFonts w:ascii="Arial Narrow" w:eastAsia="Times New Roman" w:hAnsi="Arial Narrow" w:cs="Arial"/>
          <w:sz w:val="24"/>
          <w:szCs w:val="24"/>
        </w:rPr>
        <w:t>адрес за кореспонденция: […],</w:t>
      </w:r>
    </w:p>
    <w:p w14:paraId="48C1AE18" w14:textId="77777777" w:rsidR="003E1E1A" w:rsidRPr="003E1E1A" w:rsidRDefault="003E1E1A" w:rsidP="003E1E1A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  <w:r w:rsidRPr="003E1E1A">
        <w:rPr>
          <w:rFonts w:ascii="Arial Narrow" w:eastAsia="Times New Roman" w:hAnsi="Arial Narrow" w:cs="Arial"/>
          <w:sz w:val="24"/>
          <w:szCs w:val="24"/>
        </w:rPr>
        <w:t>банкови сметки: […]</w:t>
      </w:r>
    </w:p>
    <w:p w14:paraId="49409D9E" w14:textId="77777777" w:rsidR="003E1E1A" w:rsidRPr="003E1E1A" w:rsidRDefault="003E1E1A" w:rsidP="003E1E1A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4EEB9A81" w14:textId="77777777" w:rsidR="003E1E1A" w:rsidRPr="003E1E1A" w:rsidRDefault="003E1E1A" w:rsidP="003E1E1A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F93141D" w14:textId="77777777" w:rsidR="003E1E1A" w:rsidRPr="003E1E1A" w:rsidRDefault="003E1E1A" w:rsidP="003E1E1A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087780CB" w14:textId="77777777" w:rsidR="003E1E1A" w:rsidRPr="003E1E1A" w:rsidRDefault="003E1E1A" w:rsidP="003E1E1A">
      <w:pPr>
        <w:spacing w:after="0" w:line="360" w:lineRule="auto"/>
        <w:ind w:firstLine="397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3E1E1A">
        <w:rPr>
          <w:rFonts w:ascii="Arial Narrow" w:eastAsia="Times New Roman" w:hAnsi="Arial Narrow" w:cs="Arial"/>
          <w:b/>
          <w:sz w:val="24"/>
          <w:szCs w:val="24"/>
        </w:rPr>
        <w:t>ТЕХНИЧЕСКО ПРЕДЛОЖЕНИЕ</w:t>
      </w:r>
    </w:p>
    <w:p w14:paraId="6B94A091" w14:textId="77777777" w:rsidR="003E1E1A" w:rsidRPr="003E1E1A" w:rsidRDefault="003E1E1A" w:rsidP="003E1E1A">
      <w:pPr>
        <w:tabs>
          <w:tab w:val="left" w:pos="1701"/>
        </w:tabs>
        <w:spacing w:after="0" w:line="36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E1E1A">
        <w:rPr>
          <w:rFonts w:ascii="Arial Narrow" w:eastAsia="Times New Roman" w:hAnsi="Arial Narrow" w:cs="Arial"/>
          <w:b/>
          <w:bCs/>
          <w:sz w:val="24"/>
          <w:szCs w:val="24"/>
        </w:rPr>
        <w:t>за</w:t>
      </w:r>
    </w:p>
    <w:p w14:paraId="3FE0DD0D" w14:textId="77777777" w:rsidR="003E1E1A" w:rsidRPr="003E1E1A" w:rsidRDefault="003E1E1A" w:rsidP="003E1E1A">
      <w:pPr>
        <w:tabs>
          <w:tab w:val="left" w:pos="1701"/>
        </w:tabs>
        <w:spacing w:after="0" w:line="36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3E1E1A">
        <w:rPr>
          <w:rFonts w:ascii="Arial Narrow" w:eastAsia="Times New Roman" w:hAnsi="Arial Narrow" w:cs="Arial"/>
          <w:b/>
          <w:bCs/>
          <w:sz w:val="24"/>
          <w:szCs w:val="24"/>
        </w:rPr>
        <w:t xml:space="preserve"> участие в процедура за избор на доставчик с предмет:</w:t>
      </w:r>
    </w:p>
    <w:p w14:paraId="308D17A9" w14:textId="77777777" w:rsidR="003E1E1A" w:rsidRPr="003E1E1A" w:rsidRDefault="003E1E1A" w:rsidP="003E1E1A">
      <w:pPr>
        <w:shd w:val="clear" w:color="auto" w:fill="FFFFFF"/>
        <w:suppressAutoHyphens/>
        <w:spacing w:before="120" w:after="120" w:line="240" w:lineRule="auto"/>
        <w:ind w:left="74"/>
        <w:jc w:val="center"/>
        <w:rPr>
          <w:rFonts w:ascii="Arial Narrow" w:eastAsia="Times New Roman" w:hAnsi="Arial Narrow" w:cs="Arial Narrow"/>
          <w:b/>
          <w:bCs/>
          <w:sz w:val="24"/>
          <w:szCs w:val="24"/>
        </w:rPr>
      </w:pPr>
      <w:bookmarkStart w:id="1" w:name="_Hlk125704438"/>
      <w:bookmarkStart w:id="2" w:name="_Hlk124327765"/>
      <w:r w:rsidRPr="003E1E1A">
        <w:rPr>
          <w:rFonts w:ascii="Arial Narrow" w:eastAsia="Times New Roman" w:hAnsi="Arial Narrow" w:cs="Arial Narrow"/>
          <w:b/>
          <w:bCs/>
          <w:sz w:val="24"/>
          <w:szCs w:val="24"/>
        </w:rPr>
        <w:t>„Закупуване на защитни стени за дейта център за нуждите на „Информационно обслужване“ АД“</w:t>
      </w:r>
    </w:p>
    <w:bookmarkEnd w:id="1"/>
    <w:p w14:paraId="2FD1835D" w14:textId="77777777" w:rsidR="003E1E1A" w:rsidRPr="003E1E1A" w:rsidRDefault="003E1E1A" w:rsidP="003E1E1A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3E1E1A">
        <w:rPr>
          <w:rFonts w:ascii="Arial Narrow" w:eastAsia="Times New Roman" w:hAnsi="Arial Narrow" w:cs="Times New Roman"/>
          <w:sz w:val="24"/>
        </w:rPr>
        <w:t xml:space="preserve">След запознаване с поканата за участие в процедура за избор на доставчик с предмет: </w:t>
      </w:r>
      <w:r w:rsidRPr="003E1E1A">
        <w:rPr>
          <w:rFonts w:ascii="Arial Narrow" w:eastAsia="Times New Roman" w:hAnsi="Arial Narrow" w:cs="Arial Narrow"/>
          <w:sz w:val="24"/>
          <w:szCs w:val="24"/>
        </w:rPr>
        <w:t>„</w:t>
      </w:r>
      <w:bookmarkStart w:id="3" w:name="_Hlk169528575"/>
      <w:r w:rsidRPr="003E1E1A">
        <w:rPr>
          <w:rFonts w:ascii="Arial Narrow" w:eastAsia="Times New Roman" w:hAnsi="Arial Narrow" w:cs="Arial Narrow"/>
          <w:sz w:val="24"/>
          <w:szCs w:val="24"/>
        </w:rPr>
        <w:t>Закупуване на защитни стени за дейта център за нуждите на „Информационно обслужване“ АД</w:t>
      </w:r>
      <w:bookmarkEnd w:id="3"/>
      <w:r w:rsidRPr="003E1E1A">
        <w:rPr>
          <w:rFonts w:ascii="Arial Narrow" w:eastAsia="Times New Roman" w:hAnsi="Arial Narrow" w:cs="Arial Narrow"/>
          <w:sz w:val="24"/>
          <w:szCs w:val="24"/>
        </w:rPr>
        <w:t>“</w:t>
      </w:r>
      <w:r w:rsidRPr="003E1E1A">
        <w:rPr>
          <w:rFonts w:ascii="Arial Narrow" w:eastAsia="Times New Roman" w:hAnsi="Arial Narrow" w:cs="Times New Roman"/>
          <w:sz w:val="24"/>
        </w:rPr>
        <w:t>, с настоящото Техническо предложение правим следните обвързващи предложения:</w:t>
      </w:r>
    </w:p>
    <w:bookmarkEnd w:id="2"/>
    <w:p w14:paraId="13A95FE1" w14:textId="77777777" w:rsidR="003E1E1A" w:rsidRPr="003E1E1A" w:rsidRDefault="003E1E1A" w:rsidP="003E1E1A">
      <w:pPr>
        <w:numPr>
          <w:ilvl w:val="0"/>
          <w:numId w:val="1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3E1E1A">
        <w:rPr>
          <w:rFonts w:ascii="Arial Narrow" w:eastAsia="Times New Roman" w:hAnsi="Arial Narrow" w:cs="Times New Roman"/>
          <w:sz w:val="24"/>
        </w:rPr>
        <w:t>Срок за изпълнение:</w:t>
      </w:r>
    </w:p>
    <w:p w14:paraId="63CFED17" w14:textId="77777777" w:rsidR="003E1E1A" w:rsidRPr="003E1E1A" w:rsidRDefault="003E1E1A" w:rsidP="003E1E1A">
      <w:pPr>
        <w:numPr>
          <w:ilvl w:val="1"/>
          <w:numId w:val="2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3E1E1A">
        <w:rPr>
          <w:rFonts w:ascii="Arial Narrow" w:eastAsia="Times New Roman" w:hAnsi="Arial Narrow" w:cs="Times New Roman"/>
          <w:sz w:val="24"/>
        </w:rPr>
        <w:t xml:space="preserve">Декларираме, че ще доставим 2 (два) броя. устройства в срок до </w:t>
      </w:r>
      <w:r w:rsidRPr="003E1E1A">
        <w:rPr>
          <w:rFonts w:ascii="Arial Narrow" w:eastAsia="Times New Roman" w:hAnsi="Arial Narrow" w:cs="Times New Roman"/>
          <w:sz w:val="24"/>
          <w:lang w:val="en-US"/>
        </w:rPr>
        <w:t>…</w:t>
      </w:r>
      <w:r w:rsidRPr="003E1E1A">
        <w:rPr>
          <w:rFonts w:ascii="Arial Narrow" w:eastAsia="Times New Roman" w:hAnsi="Arial Narrow" w:cs="Times New Roman"/>
          <w:sz w:val="24"/>
        </w:rPr>
        <w:t>………..…./…………</w:t>
      </w:r>
      <w:r w:rsidRPr="003E1E1A">
        <w:rPr>
          <w:rFonts w:ascii="Arial Narrow" w:eastAsia="Times New Roman" w:hAnsi="Arial Narrow" w:cs="Times New Roman"/>
          <w:sz w:val="24"/>
          <w:lang w:val="en-US"/>
        </w:rPr>
        <w:t>….</w:t>
      </w:r>
      <w:r w:rsidRPr="003E1E1A">
        <w:rPr>
          <w:rFonts w:ascii="Arial Narrow" w:eastAsia="Times New Roman" w:hAnsi="Arial Narrow" w:cs="Times New Roman"/>
          <w:sz w:val="24"/>
        </w:rPr>
        <w:t>/  дни (</w:t>
      </w:r>
      <w:r w:rsidRPr="003E1E1A">
        <w:rPr>
          <w:rFonts w:ascii="Arial Narrow" w:eastAsia="Times New Roman" w:hAnsi="Arial Narrow" w:cs="Times New Roman"/>
          <w:i/>
          <w:iCs/>
          <w:sz w:val="24"/>
        </w:rPr>
        <w:t>не повече от ……………… дни</w:t>
      </w:r>
      <w:r w:rsidRPr="003E1E1A">
        <w:rPr>
          <w:rFonts w:ascii="Arial Narrow" w:eastAsia="Times New Roman" w:hAnsi="Arial Narrow" w:cs="Times New Roman"/>
          <w:sz w:val="24"/>
        </w:rPr>
        <w:t>), считано от датата на сключване на договор.</w:t>
      </w:r>
    </w:p>
    <w:p w14:paraId="3AC76798" w14:textId="77777777" w:rsidR="003E1E1A" w:rsidRPr="003E1E1A" w:rsidRDefault="003E1E1A" w:rsidP="003E1E1A">
      <w:pPr>
        <w:numPr>
          <w:ilvl w:val="1"/>
          <w:numId w:val="2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Times New Roman"/>
          <w:b/>
          <w:bCs/>
          <w:sz w:val="24"/>
        </w:rPr>
      </w:pPr>
      <w:r w:rsidRPr="003E1E1A">
        <w:rPr>
          <w:rFonts w:ascii="Arial Narrow" w:eastAsia="Times New Roman" w:hAnsi="Arial Narrow" w:cs="Times New Roman"/>
          <w:sz w:val="24"/>
        </w:rPr>
        <w:t>Срокът на софтуерна и хардуерна гаранционна поддръжка е ………………………….. – минимум 36 месеца, считано от датата на приемо-предавателния протокол за доставка.</w:t>
      </w:r>
    </w:p>
    <w:p w14:paraId="0EDDFCB3" w14:textId="77777777" w:rsidR="003E1E1A" w:rsidRPr="003E1E1A" w:rsidRDefault="003E1E1A" w:rsidP="003E1E1A">
      <w:pPr>
        <w:numPr>
          <w:ilvl w:val="0"/>
          <w:numId w:val="2"/>
        </w:numPr>
        <w:tabs>
          <w:tab w:val="left" w:pos="1701"/>
        </w:tabs>
        <w:spacing w:before="120" w:after="12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3E1E1A">
        <w:rPr>
          <w:rFonts w:ascii="Arial Narrow" w:eastAsia="Times New Roman" w:hAnsi="Arial Narrow" w:cs="Arial"/>
          <w:sz w:val="24"/>
          <w:szCs w:val="24"/>
        </w:rPr>
        <w:t>Приемаме да изпълним предмета на процедурата, съгласно всички условия и изисквания, посочени от Възложителя в поканата за участие в настоящата процедура и Техническото задание - Приложение № 1</w:t>
      </w:r>
      <w:r w:rsidRPr="003E1E1A">
        <w:rPr>
          <w:rFonts w:ascii="Arial Narrow" w:eastAsia="Times New Roman" w:hAnsi="Arial Narrow" w:cs="Arial"/>
          <w:sz w:val="24"/>
          <w:szCs w:val="24"/>
          <w:lang w:val="en-US"/>
        </w:rPr>
        <w:t>.</w:t>
      </w:r>
    </w:p>
    <w:p w14:paraId="753427A1" w14:textId="77777777" w:rsidR="003E1E1A" w:rsidRPr="003E1E1A" w:rsidRDefault="003E1E1A" w:rsidP="003E1E1A">
      <w:pPr>
        <w:numPr>
          <w:ilvl w:val="0"/>
          <w:numId w:val="2"/>
        </w:numPr>
        <w:tabs>
          <w:tab w:val="left" w:pos="1701"/>
        </w:tabs>
        <w:spacing w:before="120"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3E1E1A">
        <w:rPr>
          <w:rFonts w:ascii="Arial Narrow" w:eastAsia="Times New Roman" w:hAnsi="Arial Narrow" w:cs="Arial"/>
          <w:sz w:val="24"/>
          <w:szCs w:val="24"/>
        </w:rPr>
        <w:t>Предложението е със срок на валидност ………….. / …………………………/ календарни дни</w:t>
      </w:r>
      <w:r w:rsidRPr="003E1E1A">
        <w:rPr>
          <w:rFonts w:ascii="Arial Narrow" w:eastAsia="Times New Roman" w:hAnsi="Arial Narrow" w:cs="Arial"/>
          <w:i/>
          <w:sz w:val="24"/>
          <w:szCs w:val="24"/>
        </w:rPr>
        <w:t xml:space="preserve"> (не по-малко от 60 /шестдесет/ календарни дни)</w:t>
      </w:r>
      <w:r w:rsidRPr="003E1E1A">
        <w:rPr>
          <w:rFonts w:ascii="Arial Narrow" w:eastAsia="Times New Roman" w:hAnsi="Arial Narrow" w:cs="Arial"/>
          <w:sz w:val="24"/>
          <w:szCs w:val="24"/>
        </w:rPr>
        <w:t>, считано от датата на представяне на предложението.</w:t>
      </w:r>
    </w:p>
    <w:p w14:paraId="6CE14C10" w14:textId="77777777" w:rsidR="003E1E1A" w:rsidRPr="003E1E1A" w:rsidRDefault="003E1E1A" w:rsidP="003E1E1A">
      <w:pPr>
        <w:numPr>
          <w:ilvl w:val="0"/>
          <w:numId w:val="2"/>
        </w:numPr>
        <w:tabs>
          <w:tab w:val="left" w:pos="1701"/>
        </w:tabs>
        <w:spacing w:before="120" w:after="120" w:line="240" w:lineRule="auto"/>
        <w:ind w:left="357"/>
        <w:jc w:val="both"/>
        <w:rPr>
          <w:rFonts w:ascii="Arial Narrow" w:eastAsia="Times New Roman" w:hAnsi="Arial Narrow" w:cs="Arial"/>
          <w:sz w:val="24"/>
          <w:szCs w:val="24"/>
        </w:rPr>
      </w:pPr>
      <w:bookmarkStart w:id="4" w:name="_Hlk124328445"/>
      <w:r w:rsidRPr="003E1E1A">
        <w:rPr>
          <w:rFonts w:ascii="Arial Narrow" w:eastAsia="Times New Roman" w:hAnsi="Arial Narrow" w:cs="Arial"/>
          <w:sz w:val="24"/>
          <w:szCs w:val="24"/>
        </w:rPr>
        <w:t>Приемаме да доставим 2 (две) устройства с еднакви параметри – модел, версия на Firmware,  настройки и спецификация за осигуряване на непрекъсваемост на мрежовата услуга. Устройствата следва да бъдат конфигурирани и да работят в High Availability режим (active-passive), като всяко от тях отговаря на следните технически параметри:</w:t>
      </w:r>
    </w:p>
    <w:p w14:paraId="1A2FF654" w14:textId="77777777" w:rsidR="003E1E1A" w:rsidRPr="003E1E1A" w:rsidRDefault="003E1E1A" w:rsidP="003E1E1A">
      <w:pPr>
        <w:tabs>
          <w:tab w:val="left" w:pos="1701"/>
        </w:tabs>
        <w:spacing w:before="120" w:after="120" w:line="240" w:lineRule="auto"/>
        <w:ind w:left="357"/>
        <w:jc w:val="both"/>
        <w:rPr>
          <w:rFonts w:ascii="Arial Narrow" w:eastAsia="Times New Roman" w:hAnsi="Arial Narrow" w:cs="Arial"/>
          <w:sz w:val="24"/>
          <w:szCs w:val="24"/>
        </w:rPr>
      </w:pPr>
    </w:p>
    <w:bookmarkEnd w:id="4"/>
    <w:p w14:paraId="3D09B960" w14:textId="77777777" w:rsidR="003E1E1A" w:rsidRPr="003E1E1A" w:rsidRDefault="003E1E1A" w:rsidP="003E1E1A">
      <w:pPr>
        <w:spacing w:before="120" w:after="0" w:line="240" w:lineRule="auto"/>
        <w:jc w:val="both"/>
        <w:rPr>
          <w:rFonts w:ascii="Arial Narrow" w:eastAsia="Times New Roman" w:hAnsi="Arial Narrow" w:cs="Arial"/>
          <w:b/>
          <w:sz w:val="24"/>
          <w:u w:val="single"/>
        </w:rPr>
      </w:pPr>
    </w:p>
    <w:tbl>
      <w:tblPr>
        <w:tblW w:w="93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51"/>
      </w:tblGrid>
      <w:tr w:rsidR="003E1E1A" w:rsidRPr="003E1E1A" w14:paraId="6E1EA29A" w14:textId="77777777" w:rsidTr="003E1E1A">
        <w:trPr>
          <w:trHeight w:val="40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9196EF1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b/>
                <w:sz w:val="24"/>
                <w:szCs w:val="24"/>
              </w:rPr>
              <w:t>Параметър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C1EFF1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center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b/>
                <w:sz w:val="24"/>
                <w:szCs w:val="24"/>
              </w:rPr>
              <w:t>Минимално изискване</w:t>
            </w:r>
          </w:p>
        </w:tc>
      </w:tr>
      <w:tr w:rsidR="003E1E1A" w:rsidRPr="003E1E1A" w14:paraId="3409D3C2" w14:textId="77777777" w:rsidTr="00585605">
        <w:trPr>
          <w:trHeight w:val="85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D4AC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Минимална пропускателна способност с активирана функция за идентификация на приложенията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A586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50.0 Gbps</w:t>
            </w:r>
          </w:p>
        </w:tc>
      </w:tr>
      <w:tr w:rsidR="003E1E1A" w:rsidRPr="003E1E1A" w14:paraId="01D0515E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774A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Минимална пропускателна способност с активирани всички  функционалности за защита:  IPS/ AntiVirus/ Anti-Malware / URL / Firewall / Application Control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4C77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33 Gbps</w:t>
            </w:r>
          </w:p>
        </w:tc>
      </w:tr>
      <w:tr w:rsidR="003E1E1A" w:rsidRPr="003E1E1A" w14:paraId="66C52AFC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3859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Минимална производителност за IPsec VPN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86D4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20 Gbps</w:t>
            </w:r>
          </w:p>
        </w:tc>
      </w:tr>
      <w:tr w:rsidR="003E1E1A" w:rsidRPr="003E1E1A" w14:paraId="45D6383A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EF9B0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Минимален брой TCP сесии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9D3F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4 500 000</w:t>
            </w:r>
          </w:p>
        </w:tc>
      </w:tr>
      <w:tr w:rsidR="003E1E1A" w:rsidRPr="003E1E1A" w14:paraId="24AD33D2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E7B4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Минимален брой нови сесии в секунда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CE0A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265 000</w:t>
            </w:r>
          </w:p>
        </w:tc>
      </w:tr>
      <w:tr w:rsidR="003E1E1A" w:rsidRPr="003E1E1A" w14:paraId="66AADCB9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BF21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Разпознати и поддържани приложения (минимум)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2589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4 300</w:t>
            </w:r>
          </w:p>
        </w:tc>
      </w:tr>
      <w:tr w:rsidR="003E1E1A" w:rsidRPr="003E1E1A" w14:paraId="20A36E26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28AE3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Минимален брой мрежови интерфейси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6EC99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Да разполага 8 X 1G/2.5G/5G/10G Base-T ports </w:t>
            </w:r>
          </w:p>
          <w:p w14:paraId="6FDF8405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Да разполага с възможност за надграждане с допълнителни минимум 12 x 10Gbit/s SFP+ </w:t>
            </w:r>
          </w:p>
          <w:p w14:paraId="6CD896DF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4 x 40G/100Gbit/s QSFP+/QSFP28 </w:t>
            </w:r>
          </w:p>
          <w:p w14:paraId="4C20C7F2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4 x 25Gbit/s SFP28</w:t>
            </w:r>
          </w:p>
        </w:tc>
      </w:tr>
      <w:tr w:rsidR="003E1E1A" w:rsidRPr="003E1E1A" w14:paraId="73BE9DF7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7C79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Режими на работа на интерфейсите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118A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L2, L3, Tap, Transparent едновременно/микс да се използват върху едно устройство. </w:t>
            </w:r>
          </w:p>
        </w:tc>
      </w:tr>
      <w:tr w:rsidR="003E1E1A" w:rsidRPr="003E1E1A" w14:paraId="7702FE28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0DD4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Машрутизиращи протоколи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7D05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OSPFv2/v3, BGP with graceful restart, RIP, static routing Policy-based forwarding</w:t>
            </w: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br/>
              <w:t>Point-to-Point Protocol over Ethernet (PPPoE)</w:t>
            </w: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br/>
              <w:t>Bidirectional Forwarding Detection (BFD)</w:t>
            </w:r>
          </w:p>
        </w:tc>
      </w:tr>
      <w:tr w:rsidR="003E1E1A" w:rsidRPr="003E1E1A" w14:paraId="45EF7C4C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4076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Минимални изисквания към IPSec</w:t>
            </w: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br/>
              <w:t>имплементация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D97D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Key exchange: manual key, IKEv1 and IKEv2 (pre-shared key, certificate authentication) </w:t>
            </w:r>
          </w:p>
          <w:p w14:paraId="4DEA7C75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Encryption: 3DES, AES (128-bit, 192-bit, 256-bit) Authentication: MD5, SHA-1, SHA-256, SHA-384, SHA-512</w:t>
            </w:r>
          </w:p>
          <w:p w14:paraId="37B56BA5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Post-quantum VPN : quantum-resistant IKEv2 VPNs based on the RFC 8784</w:t>
            </w:r>
          </w:p>
        </w:tc>
      </w:tr>
      <w:tr w:rsidR="003E1E1A" w:rsidRPr="003E1E1A" w14:paraId="633A8342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043E8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Минимален брой конкурентни SSL</w:t>
            </w:r>
            <w:r w:rsidRPr="003E1E1A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VPN потребителя включени в</w:t>
            </w:r>
            <w:r w:rsidRPr="003E1E1A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системата (постоянни лицензи)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DC05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15 000 SSL VPN потребителя</w:t>
            </w:r>
          </w:p>
        </w:tc>
      </w:tr>
      <w:tr w:rsidR="003E1E1A" w:rsidRPr="003E1E1A" w14:paraId="1EAB1165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A53D7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Минимален брой IPSec Site-to-Site VPN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F4948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10 000 отдалечени точки</w:t>
            </w:r>
          </w:p>
        </w:tc>
      </w:tr>
      <w:tr w:rsidR="003E1E1A" w:rsidRPr="003E1E1A" w14:paraId="56D290B5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190C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Устройството да поддържа виртуални таблици за маршрутизация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8B488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минимум 20 броя </w:t>
            </w:r>
          </w:p>
        </w:tc>
      </w:tr>
      <w:tr w:rsidR="003E1E1A" w:rsidRPr="003E1E1A" w14:paraId="49CBC87E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5EA5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Устройството да има възможност да поддържа виртуализация (виртуални контексти)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D98C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 10 броя</w:t>
            </w:r>
          </w:p>
        </w:tc>
      </w:tr>
      <w:tr w:rsidR="003E1E1A" w:rsidRPr="003E1E1A" w14:paraId="4E55FB37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74B3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lastRenderedPageBreak/>
              <w:t xml:space="preserve">IPv6 поддръжка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B238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Всички конфигурации за интерфейсните модули на защитната стена трябва да поддържат IPv6 както и всички контролни функции на системата трябва да се налични и за IPv6</w:t>
            </w:r>
          </w:p>
        </w:tc>
      </w:tr>
      <w:tr w:rsidR="003E1E1A" w:rsidRPr="003E1E1A" w14:paraId="53B41005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43E5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Инспекция на SSL криптиран трафик, без оглед на прилежащия протокол, като предоставя декриптирания трафик на всички свои функционални компоненти, за инспекция и налагане на политики над съдържанието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9D01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Системата следва да декриптира и инспектира SSL като поддържа TLS v1.1, TLS v1.2, TLS v1.3</w:t>
            </w:r>
          </w:p>
        </w:tc>
      </w:tr>
      <w:tr w:rsidR="003E1E1A" w:rsidRPr="003E1E1A" w14:paraId="51DE8C11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75CB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Управление на устройството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CEC1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Всяко от устройствата в системата да има възможност да се управлява посредством имплементация на REST based API, извличане на данни и репорти в XML формати. Всяко от устройствата в системата следва да поддържа всеки един от следните методи за управление: CLI, уеб конзола, централизирана система за управление</w:t>
            </w:r>
          </w:p>
        </w:tc>
      </w:tr>
      <w:tr w:rsidR="003E1E1A" w:rsidRPr="003E1E1A" w14:paraId="631E72AC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4CBA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Режим на надеждност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72A2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Active-Passive, Active/Active </w:t>
            </w:r>
          </w:p>
          <w:p w14:paraId="18467C62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Клъстер до 8 устройства разпределени в отдалечени центрове за данни</w:t>
            </w:r>
          </w:p>
        </w:tc>
      </w:tr>
      <w:tr w:rsidR="003E1E1A" w:rsidRPr="003E1E1A" w14:paraId="30A6E25B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1DBB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Минимален брой интерфейси за</w:t>
            </w: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br/>
              <w:t>управление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6255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1 х 1Gbit/s SFP  out-of-band management port</w:t>
            </w:r>
          </w:p>
          <w:p w14:paraId="285810BA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  <w:shd w:val="clear" w:color="auto" w:fill="FCE5CD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2 х 10G SFP+ интерфейси за отказоустойчивост</w:t>
            </w:r>
            <w:r w:rsidRPr="003E1E1A">
              <w:rPr>
                <w:rFonts w:ascii="Arial Narrow" w:eastAsia="Arial" w:hAnsi="Arial Narrow" w:cs="Arial"/>
                <w:sz w:val="24"/>
                <w:szCs w:val="24"/>
                <w:shd w:val="clear" w:color="auto" w:fill="FCE5CD"/>
              </w:rPr>
              <w:t xml:space="preserve"> </w:t>
            </w:r>
          </w:p>
          <w:p w14:paraId="55866BBD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1 х RJ-45 конзолен порт</w:t>
            </w:r>
          </w:p>
          <w:p w14:paraId="20E00608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  <w:shd w:val="clear" w:color="auto" w:fill="FCE5CD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1 x Micro USB</w:t>
            </w:r>
          </w:p>
          <w:p w14:paraId="4D54289D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Възможност за надграждане 1x40Gbit/s QSFP+ интерфейси за отказоустойчивост</w:t>
            </w:r>
          </w:p>
        </w:tc>
      </w:tr>
      <w:tr w:rsidR="003E1E1A" w:rsidRPr="003E1E1A" w14:paraId="010F8657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964D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Монтаж и размери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C842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Предназначена за вграждане в 19‘‘ шкаф с максимален размер 2U</w:t>
            </w:r>
          </w:p>
        </w:tc>
      </w:tr>
      <w:tr w:rsidR="003E1E1A" w:rsidRPr="003E1E1A" w14:paraId="28E26FB0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5C78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Захранване и входно напрежение (Входяща честота)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4F86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 xml:space="preserve">Резервирано, 100-240VAC </w:t>
            </w:r>
          </w:p>
          <w:p w14:paraId="31A88426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(50-60Hz)</w:t>
            </w:r>
          </w:p>
        </w:tc>
      </w:tr>
      <w:tr w:rsidR="003E1E1A" w:rsidRPr="003E1E1A" w14:paraId="5DE6B5CF" w14:textId="77777777" w:rsidTr="0058560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6A2A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Софтуерна и хардуерна гаранционна поддръжка 365x24x7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7BB6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мин. 36 месеца.</w:t>
            </w:r>
          </w:p>
          <w:p w14:paraId="48D2E6A2" w14:textId="77777777" w:rsidR="003E1E1A" w:rsidRPr="003E1E1A" w:rsidRDefault="003E1E1A" w:rsidP="003E1E1A">
            <w:pPr>
              <w:spacing w:before="120" w:after="0" w:line="240" w:lineRule="auto"/>
              <w:ind w:firstLine="397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  <w:r w:rsidRPr="003E1E1A">
              <w:rPr>
                <w:rFonts w:ascii="Arial Narrow" w:eastAsia="Arial" w:hAnsi="Arial Narrow" w:cs="Arial"/>
                <w:sz w:val="24"/>
                <w:szCs w:val="24"/>
              </w:rPr>
              <w:t>Участника следва да използва необходимите лицензи за гаранционна поддръжка от Производителя. Доказва се чрез посочване на партиден номер.</w:t>
            </w:r>
          </w:p>
        </w:tc>
      </w:tr>
    </w:tbl>
    <w:p w14:paraId="76D9A1AF" w14:textId="77777777" w:rsidR="003E1E1A" w:rsidRPr="003E1E1A" w:rsidRDefault="003E1E1A" w:rsidP="003E1E1A">
      <w:pPr>
        <w:numPr>
          <w:ilvl w:val="0"/>
          <w:numId w:val="3"/>
        </w:numPr>
        <w:spacing w:before="120" w:after="0" w:line="240" w:lineRule="auto"/>
        <w:jc w:val="both"/>
        <w:rPr>
          <w:rFonts w:ascii="Arial Narrow" w:eastAsia="Times New Roman" w:hAnsi="Arial Narrow" w:cs="Arial"/>
          <w:b/>
          <w:sz w:val="24"/>
          <w:u w:val="single"/>
        </w:rPr>
      </w:pPr>
      <w:r w:rsidRPr="003E1E1A">
        <w:rPr>
          <w:rFonts w:ascii="Arial Narrow" w:eastAsia="Times New Roman" w:hAnsi="Arial Narrow" w:cs="Arial"/>
          <w:b/>
          <w:sz w:val="24"/>
          <w:u w:val="single"/>
        </w:rPr>
        <w:t xml:space="preserve">Устройствата да отговарят на допълнителните функционални изисквания, посочени в техническата спецификация </w:t>
      </w:r>
    </w:p>
    <w:p w14:paraId="161CAE76" w14:textId="77777777" w:rsidR="003E1E1A" w:rsidRPr="003E1E1A" w:rsidRDefault="003E1E1A" w:rsidP="003E1E1A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</w:p>
    <w:p w14:paraId="655DB051" w14:textId="77777777" w:rsidR="003E1E1A" w:rsidRPr="003E1E1A" w:rsidRDefault="003E1E1A" w:rsidP="003E1E1A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</w:p>
    <w:p w14:paraId="56421041" w14:textId="77777777" w:rsidR="003E1E1A" w:rsidRPr="003E1E1A" w:rsidRDefault="003E1E1A" w:rsidP="003E1E1A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</w:p>
    <w:p w14:paraId="3F767EFB" w14:textId="77777777" w:rsidR="003E1E1A" w:rsidRPr="003E1E1A" w:rsidRDefault="003E1E1A" w:rsidP="003E1E1A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  <w:r w:rsidRPr="003E1E1A">
        <w:rPr>
          <w:rFonts w:ascii="Arial Narrow" w:eastAsia="Times New Roman" w:hAnsi="Arial Narrow" w:cs="Arial"/>
          <w:b/>
          <w:sz w:val="24"/>
          <w:u w:val="single"/>
        </w:rPr>
        <w:lastRenderedPageBreak/>
        <w:t xml:space="preserve">ПОДПИС </w:t>
      </w:r>
    </w:p>
    <w:p w14:paraId="3FF23634" w14:textId="77777777" w:rsidR="003E1E1A" w:rsidRPr="003E1E1A" w:rsidRDefault="003E1E1A" w:rsidP="003E1E1A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</w:rPr>
      </w:pPr>
      <w:r w:rsidRPr="003E1E1A">
        <w:rPr>
          <w:rFonts w:ascii="Arial Narrow" w:eastAsia="Times New Roman" w:hAnsi="Arial Narrow" w:cs="Arial"/>
          <w:sz w:val="24"/>
        </w:rPr>
        <w:t>[име и фамилия]</w:t>
      </w:r>
    </w:p>
    <w:p w14:paraId="4A164C9F" w14:textId="77777777" w:rsidR="003E1E1A" w:rsidRPr="003E1E1A" w:rsidRDefault="003E1E1A" w:rsidP="003E1E1A">
      <w:pPr>
        <w:spacing w:before="120" w:after="0" w:line="240" w:lineRule="auto"/>
        <w:ind w:left="4956"/>
        <w:jc w:val="both"/>
        <w:rPr>
          <w:rFonts w:ascii="Arial Narrow" w:eastAsia="Times New Roman" w:hAnsi="Arial Narrow" w:cs="Arial"/>
          <w:sz w:val="24"/>
        </w:rPr>
      </w:pPr>
      <w:r w:rsidRPr="003E1E1A">
        <w:rPr>
          <w:rFonts w:ascii="Arial Narrow" w:eastAsia="Times New Roman" w:hAnsi="Arial Narrow" w:cs="Arial"/>
          <w:sz w:val="24"/>
        </w:rPr>
        <w:t>[качество на представляващия участника]</w:t>
      </w:r>
    </w:p>
    <w:p w14:paraId="54864089" w14:textId="77777777" w:rsidR="003E1E1A" w:rsidRPr="003E1E1A" w:rsidRDefault="003E1E1A" w:rsidP="003E1E1A">
      <w:pPr>
        <w:spacing w:before="120" w:after="0" w:line="240" w:lineRule="auto"/>
        <w:ind w:left="4956" w:firstLine="397"/>
        <w:jc w:val="both"/>
        <w:rPr>
          <w:rFonts w:ascii="Arial Narrow" w:eastAsia="Times New Roman" w:hAnsi="Arial Narrow" w:cs="Arial"/>
          <w:sz w:val="24"/>
        </w:rPr>
      </w:pPr>
    </w:p>
    <w:p w14:paraId="3D669A44" w14:textId="77777777" w:rsidR="003E1E1A" w:rsidRPr="003E1E1A" w:rsidRDefault="003E1E1A" w:rsidP="003E1E1A">
      <w:pPr>
        <w:spacing w:before="120" w:after="0" w:line="240" w:lineRule="auto"/>
        <w:ind w:left="4956" w:firstLine="397"/>
        <w:jc w:val="both"/>
        <w:rPr>
          <w:rFonts w:ascii="Arial Narrow" w:eastAsia="Times New Roman" w:hAnsi="Arial Narrow" w:cs="Arial"/>
          <w:sz w:val="24"/>
        </w:rPr>
      </w:pPr>
    </w:p>
    <w:p w14:paraId="2438FC05" w14:textId="77777777" w:rsidR="003E1E1A" w:rsidRPr="003E1E1A" w:rsidRDefault="003E1E1A" w:rsidP="003E1E1A">
      <w:pPr>
        <w:spacing w:before="120" w:after="0" w:line="240" w:lineRule="auto"/>
        <w:ind w:left="4956" w:firstLine="397"/>
        <w:jc w:val="both"/>
        <w:rPr>
          <w:rFonts w:ascii="Arial Narrow" w:eastAsia="Times New Roman" w:hAnsi="Arial Narrow" w:cs="Arial"/>
          <w:sz w:val="24"/>
        </w:rPr>
      </w:pPr>
    </w:p>
    <w:p w14:paraId="39291313" w14:textId="77777777" w:rsidR="003E1E1A" w:rsidRPr="003E1E1A" w:rsidRDefault="003E1E1A" w:rsidP="003E1E1A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lang w:eastAsia="bg-BG"/>
        </w:rPr>
      </w:pPr>
      <w:r w:rsidRPr="003E1E1A">
        <w:rPr>
          <w:rFonts w:ascii="Arial Narrow" w:eastAsia="Times New Roman" w:hAnsi="Arial Narrow" w:cs="Arial"/>
          <w:b/>
          <w:i/>
          <w:sz w:val="24"/>
          <w:lang w:eastAsia="bg-BG"/>
        </w:rPr>
        <w:t xml:space="preserve">Забележка: </w:t>
      </w:r>
      <w:r w:rsidRPr="003E1E1A">
        <w:rPr>
          <w:rFonts w:ascii="Arial Narrow" w:eastAsia="Times New Roman" w:hAnsi="Arial Narrow" w:cs="Arial"/>
          <w:i/>
          <w:sz w:val="24"/>
          <w:lang w:eastAsia="bg-BG"/>
        </w:rPr>
        <w:t>Техническото предложение се представя в електронен вид във формат .pdf, подписано с квалифициран електронен подпис.</w:t>
      </w:r>
    </w:p>
    <w:p w14:paraId="37554022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30E21"/>
    <w:multiLevelType w:val="multilevel"/>
    <w:tmpl w:val="8AD6A9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DAE579A"/>
    <w:multiLevelType w:val="hybridMultilevel"/>
    <w:tmpl w:val="6B7E1A70"/>
    <w:lvl w:ilvl="0" w:tplc="B71ADA3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800310">
    <w:abstractNumId w:val="1"/>
  </w:num>
  <w:num w:numId="2" w16cid:durableId="1185897844">
    <w:abstractNumId w:val="0"/>
  </w:num>
  <w:num w:numId="3" w16cid:durableId="1966156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A"/>
    <w:rsid w:val="003E1E1A"/>
    <w:rsid w:val="008716FA"/>
    <w:rsid w:val="00B067B3"/>
    <w:rsid w:val="00B11E1F"/>
    <w:rsid w:val="00E061BA"/>
    <w:rsid w:val="00F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FD5"/>
  <w15:chartTrackingRefBased/>
  <w15:docId w15:val="{C7AE4735-A0A3-418A-B271-7609850F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2024-06-19T11:04:00Z</dcterms:created>
  <dcterms:modified xsi:type="dcterms:W3CDTF">2024-06-19T11:04:00Z</dcterms:modified>
</cp:coreProperties>
</file>